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  <w:r>
        <w:rPr>
          <w:b/>
          <w:sz w:val="28"/>
          <w:szCs w:val="28"/>
        </w:rPr>
        <w:t xml:space="preserve">ЗАКЛЮЧЕНИЕ ПО ДОГОВОРУ</w:t>
      </w:r>
    </w:p>
    <w:p>
      <w:pPr>
        <w:jc w:val="center"/>
      </w:pPr>
      <w:r>
        <w:t xml:space="preserve">к договору купли-продажи квартиры от 20.10.2026</w:t>
      </w:r>
    </w:p>
    <w:p>
      <w:pPr>
        <w:spacing w:after="240"/>
        <w:jc w:val="center"/>
      </w:pPr>
      <w:r>
        <w:rPr>
          <w:sz w:val="20"/>
          <w:szCs w:val="20"/>
        </w:rPr>
        <w:t xml:space="preserve">Проверено со стороны покупателя · 22.10.2026</w:t>
      </w:r>
    </w:p>
    <w:p>
      <w:pPr>
        <w:spacing w:after="60"/>
      </w:pPr>
      <w:r>
        <w:rPr>
          <w:b/>
          <w:sz w:val="28"/>
          <w:szCs w:val="28"/>
        </w:rPr>
        <w:t xml:space="preserve">Итог: Стоп: сначала документы и правки</w:t>
      </w:r>
    </w:p>
    <w:p>
      <w:pPr>
        <w:spacing w:after="120"/>
      </w:pPr>
      <w:r>
        <w:t xml:space="preserve">Продаётся доля несовершеннолетнего без разрешения опеки и нотариуса, а вся сумма уходит продавцу наличными до регистрации при залоге банка — сделка опасна для покупателя.</w:t>
      </w:r>
    </w:p>
    <w:p>
      <w:pPr>
        <w:spacing w:after="240"/>
      </w:pPr>
      <w:r>
        <w:rPr>
          <w:b/>
          <w:sz w:val="22"/>
          <w:szCs w:val="22"/>
        </w:rPr>
        <w:t xml:space="preserve">Проверен текст договора, а не квартира: собственников, обременения и долги проверьте по списку в разделе 4.</w:t>
      </w:r>
    </w:p>
    <w:p>
      <w:pPr>
        <w:spacing w:after="120"/>
      </w:pPr>
      <w:r>
        <w:rPr>
          <w:b/>
          <w:sz w:val="26"/>
          <w:szCs w:val="26"/>
        </w:rPr>
        <w:t xml:space="preserve">1. Риски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500"/>
        <w:gridCol w:w="1200"/>
        <w:gridCol w:w="3919"/>
        <w:gridCol w:w="4019"/>
      </w:tblGrid>
      <w:tr>
        <w:trPr>
          <w:tblHeader/>
        </w:trPr>
        <w:tc>
          <w:tcPr>
            <w:tcW w:w="259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Пункт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Что не так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Как исправить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1.2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Продаётся доля несовершеннолетнего, но нет ни слова о предварительном разрешении органа опеки (п. 1 ст. 28, п. 2 ст. 37 ГК, п. 3 ст. 60 СК), а сделка с квартирой ребёнка требует нотариального удостоверения (ч. 2 ст. 54 закона № 218-ФЗ), без него она ничтожна (п. 3 ст. 163 ГК).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Получить предварительное разрешение органа опеки и попечительства и удостоверить договор у нотариуса, указав реквизиты разрешения.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2.2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Покупатель становится собственником только с регистрации перехода права (п. 2 ст. 223 ГК), а деньги уходят продавцу до регистрации, без аккредитива, ячейки или безопасных расчётов, при том что квартира в залоге.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Перейти на расчёты через аккредитив, ячейку или безопасные расчёты с раскрытием продавцу после регистрации перехода права.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1.4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Продать заложенное без согласия залогодержателя нельзя, если иное не следует из закона, договора или существа залога (п. 2 ст. 346 ГК), а при продаже залог, как правило, сохраняется (п. 1 ст. 353 ГК). Нет условия о снятии обременения до регистрации.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Прописать порядок погашения долга и снятия залога до подачи документов на регистрацию и получить согласие банка-залогодержателя.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1.3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Нет нотариального согласия супруга; без него супруг в течение года, как узнал о сделке, может требовать признать её недействительной (п. 3 ст. 35 СК, ст. 173.1 ГК).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Получить нотариально удостоверенное согласие супруга продавца на продажу.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2.1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Сумма цифрами и прописью не совпадают: цифрами 5 400 000, прописью 5 300 000.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Привести сумму прописью в соответствие с цифрами.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3.1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Общая площадь указана по-разному: в п. 1.1 — 52,4 кв. м, в п. 3.1 — 54,2 кв. м; проверить, не перепутаны ли данные другого объекта. Передача оформляется без передаточного акта, хотя передачу оформляют документом, подписанным сторонами (п. 1 ст. 556 ГК).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Сверить площадь с выпиской ЕГРН и указать одинаково во всех пунктах; предусмотреть отдельный передаточный акт.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4.2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Односторонний отказ продавца с возвратом денег без процентов в течение 90 дней: покупатель надолго лишается денег и не получает квартиру.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Исключить право продавца на односторонний отказ.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3.2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Нет перечня лиц, сохраняющих право пользования квартирой после продажи, или слов, что таких лиц нет, — это существенное условие (п. 1 ст. 558 ГК); срок снятия с учёта неопределённый («разумный срок»).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(высокая)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Указать, что лиц, сохраняющих право пользования, нет, и назвать конкретную дату снятия с регистрационного учёта.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9.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4.1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Неустойка предусмотрена только для покупателя, для продавца — нет; перекос против нашей стороны.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(средняя)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Добавить симметричную неустойку для продавца за просрочку передачи и уклонение от регистрации.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10.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3.3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Фраза лишает покупателя права на снижение цены, устранение недостатков или возмещение расходов по недостаткам, которые продавец не оговорил (п. 1 ст. 475, ст. 557 ГК).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(средняя)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Убрать слова про скрытые недостатки и сохранить ответственность продавца за неоговорённые недостатки.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11.</w:t>
            </w:r>
          </w:p>
        </w:tc>
        <w:tc>
          <w:tcPr>
            <w:tcW w:w="62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2.3</w:t>
            </w:r>
          </w:p>
        </w:tc>
        <w:tc>
          <w:tcPr>
            <w:tcW w:w="2033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Покупатель несёт налоги продавца, связанные с продажей, — перекос против нашей стороны.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(средняя)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Оставить покупателю только расходы по регистрации, налоги продавца возложить на продавца.</w:t>
            </w:r>
          </w:p>
        </w:tc>
      </w:tr>
    </w:tbl>
    <w:p>
      <w:pPr>
        <w:spacing w:after="240"/>
      </w:pPr>
    </w:p>
    <w:p>
      <w:pPr>
        <w:spacing w:after="120"/>
      </w:pPr>
      <w:r>
        <w:rPr>
          <w:b/>
          <w:sz w:val="26"/>
          <w:szCs w:val="26"/>
        </w:rPr>
        <w:t xml:space="preserve">2. Чего не хватает в договоре</w:t>
      </w:r>
    </w:p>
    <w:p>
      <w:pPr>
        <w:spacing w:after="60"/>
      </w:pPr>
      <w:r>
        <w:t xml:space="preserve">— Нет заверений продавца об отсутствии залога, ареста, споров, прав третьих лиц, долгов, зарегистрированных лиц, детей-собственников (ст. 431.2 ГК). Добавить пункт с заверениями продавца и ответственностью за их недостоверность.</w:t>
      </w:r>
    </w:p>
    <w:p>
      <w:pPr>
        <w:spacing w:after="180"/>
      </w:pPr>
    </w:p>
    <w:p>
      <w:pPr>
        <w:spacing w:after="120"/>
      </w:pPr>
      <w:r>
        <w:rPr>
          <w:b/>
          <w:sz w:val="26"/>
          <w:szCs w:val="26"/>
        </w:rPr>
        <w:t xml:space="preserve">3. Сверка цифр внутри договора (проверено программой)</w:t>
      </w:r>
    </w:p>
    <w:p>
      <w:pPr>
        <w:spacing w:after="60"/>
      </w:pPr>
      <w:r>
        <w:t xml:space="preserve">— сумма «5 400 000 (пять миллионов триста тысяч) руб»: цифрами 5 400 000, прописью 5 300 000 — не совпадают</w:t>
      </w:r>
    </w:p>
    <w:p>
      <w:pPr>
        <w:spacing w:after="60"/>
      </w:pPr>
      <w:r>
        <w:t xml:space="preserve">— общая в договоре указана по-разному: 52,4 и 54,2 кв. м — проверить, не перепутаны ли данные другого объекта</w:t>
      </w:r>
    </w:p>
    <w:p>
      <w:pPr>
        <w:spacing w:after="180"/>
      </w:pPr>
    </w:p>
    <w:p>
      <w:pPr>
        <w:spacing w:after="120"/>
      </w:pPr>
      <w:r>
        <w:rPr>
          <w:b/>
          <w:sz w:val="26"/>
          <w:szCs w:val="26"/>
        </w:rPr>
        <w:t xml:space="preserve">4. Документы, которые запросить к сделке</w:t>
      </w:r>
    </w:p>
    <w:p>
      <w:pPr>
        <w:spacing w:after="60"/>
      </w:pPr>
      <w:r>
        <w:t xml:space="preserve">☐ свежая выписка ЕГРН от продавца (на Госуслугах бесплатно, с ФИО собственников и обременениями)</w:t>
      </w:r>
    </w:p>
    <w:p>
      <w:pPr>
        <w:spacing w:after="60"/>
      </w:pPr>
      <w:r>
        <w:t xml:space="preserve">☐ справка о зарегистрированных в квартире (выписка из домовой книги или единого жилищного документа)</w:t>
      </w:r>
    </w:p>
    <w:p>
      <w:pPr>
        <w:spacing w:after="60"/>
      </w:pPr>
      <w:r>
        <w:t xml:space="preserve">☐ справка об отсутствии долгов за коммунальные услуги и капитальный ремонт</w:t>
      </w:r>
    </w:p>
    <w:p>
      <w:pPr>
        <w:spacing w:after="60"/>
      </w:pPr>
      <w:r>
        <w:t xml:space="preserve">☐ документы-основания права продавца (договор, свидетельство о наследстве и т. п.)</w:t>
      </w:r>
    </w:p>
    <w:p>
      <w:pPr>
        <w:spacing w:after="60"/>
      </w:pPr>
      <w:r>
        <w:t xml:space="preserve">☐ паспорта сторон — проверить действительность на Госуслугах</w:t>
      </w:r>
    </w:p>
    <w:p>
      <w:pPr>
        <w:spacing w:after="60"/>
      </w:pPr>
      <w:r>
        <w:t xml:space="preserve">☐ нотариальное согласие супруга продавца на продажу — или документ, что квартира его личная (была до брака, получена в дар или по наследству)</w:t>
      </w:r>
    </w:p>
    <w:p>
      <w:pPr>
        <w:spacing w:after="60"/>
      </w:pPr>
      <w:r>
        <w:t xml:space="preserve">☐ если среди собственников ребёнок: предварительное разрешение органа опеки и попечительства, а продажу его квартиры или доли удостоверяет нотариус</w:t>
      </w:r>
    </w:p>
    <w:p>
      <w:pPr>
        <w:spacing w:after="60"/>
      </w:pPr>
      <w:r>
        <w:t xml:space="preserve">☐ если покупка в ипотеку — решение банка о кредите; если квартира в залоге у банка продавца — согласие банка и справка об остатке долга, порядок снятия залога</w:t>
      </w:r>
    </w:p>
    <w:p>
      <w:pPr>
        <w:spacing w:after="60"/>
      </w:pPr>
      <w:r>
        <w:t xml:space="preserve">☐ если продаётся доля, а не вся квартира всеми собственниками одной сделкой: договор у нотариуса и извещения остальных собственников о продаже или их письменные отказы (у них преимущественное право)</w:t>
      </w:r>
    </w:p>
    <w:p>
      <w:pPr>
        <w:spacing w:after="180"/>
      </w:pPr>
    </w:p>
    <w:p>
      <w:pPr>
        <w:spacing w:after="120"/>
      </w:pPr>
      <w:r>
        <w:rPr>
          <w:b/>
          <w:sz w:val="26"/>
          <w:szCs w:val="26"/>
        </w:rPr>
        <w:t xml:space="preserve">5. Проверьте сами — бесплатно</w:t>
      </w:r>
    </w:p>
    <w:p>
      <w:pPr>
        <w:spacing w:after="60"/>
      </w:pPr>
      <w:hyperlink r:id="rIdS1">
        <w:r>
          <w:rPr>
            <w:color w:val="0563C1"/>
            <w:u w:val="single"/>
          </w:rPr>
          <w:t xml:space="preserve">Квартира 66:41:0000000:1234 на карте НСПД</w:t>
        </w:r>
      </w:hyperlink>
    </w:p>
    <w:p>
      <w:pPr>
        <w:spacing w:after="60"/>
      </w:pPr>
      <w:hyperlink r:id="rIdS2">
        <w:r>
          <w:rPr>
            <w:color w:val="0563C1"/>
            <w:u w:val="single"/>
          </w:rPr>
          <w:t xml:space="preserve">Справочная информация по объекту — Росреестр (обременения, зарегистрировано ли право)</w:t>
        </w:r>
      </w:hyperlink>
    </w:p>
    <w:p>
      <w:pPr>
        <w:spacing w:after="60"/>
      </w:pPr>
      <w:hyperlink r:id="rIdS3">
        <w:r>
          <w:rPr>
            <w:color w:val="0563C1"/>
            <w:u w:val="single"/>
          </w:rPr>
          <w:t xml:space="preserve">Долги продавца у судебных приставов — ФССП</w:t>
        </w:r>
      </w:hyperlink>
    </w:p>
    <w:p>
      <w:pPr>
        <w:spacing w:after="60"/>
      </w:pPr>
      <w:hyperlink r:id="rIdS4">
        <w:r>
          <w:rPr>
            <w:color w:val="0563C1"/>
            <w:u w:val="single"/>
          </w:rPr>
          <w:t xml:space="preserve">Банкротство продавца — Федресурс</w:t>
        </w:r>
      </w:hyperlink>
    </w:p>
    <w:p>
      <w:pPr>
        <w:spacing w:after="60"/>
      </w:pPr>
      <w:hyperlink r:id="rIdS5">
        <w:r>
          <w:rPr>
            <w:color w:val="0563C1"/>
            <w:u w:val="single"/>
          </w:rPr>
          <w:t xml:space="preserve">Суды с участием продавца — ГАС «Правосудие»</w:t>
        </w:r>
      </w:hyperlink>
    </w:p>
    <w:p>
      <w:pPr>
        <w:spacing w:after="60"/>
      </w:pPr>
      <w:hyperlink r:id="rIdS6">
        <w:r>
          <w:rPr>
            <w:color w:val="0563C1"/>
            <w:u w:val="single"/>
          </w:rPr>
          <w:t xml:space="preserve">Дом: год постройки, аварийность, управляющая компания — ГИС ЖКХ</w:t>
        </w:r>
      </w:hyperlink>
    </w:p>
    <w:p>
      <w:pPr>
        <w:spacing w:after="180"/>
      </w:pPr>
    </w:p>
    <w:p>
      <w:pPr>
        <w:spacing w:after="120"/>
      </w:pPr>
      <w:r>
        <w:rPr>
          <w:b/>
          <w:sz w:val="26"/>
          <w:szCs w:val="26"/>
        </w:rPr>
        <w:t xml:space="preserve">6. Правки «было → стало»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500"/>
        <w:gridCol w:w="1100"/>
        <w:gridCol w:w="4019"/>
        <w:gridCol w:w="4019"/>
      </w:tblGrid>
      <w:tr>
        <w:trPr>
          <w:tblHeader/>
        </w:trPr>
        <w:tc>
          <w:tcPr>
            <w:tcW w:w="259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Пункт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Было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Предлагаем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1.2. Квартира принадлежит Продавцу (3/4 доли) и его несовершеннолетнему сыну (1/4 доли). Договор подписывает Продавец, действующий за себя и за сына.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1.2. Квартира принадлежит Продавцу (3/4 доли) и его несовершеннолетнему сыну (1/4 доли). От имени несовершеннолетнего действует Продавец как законный представитель на основании предварительного разрешения органа опеки и попечительства № ___ от ___. Договор подлежит нотариальному удостоверению.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2.2. Покупатель передаёт Продавцу всю сумму наличными в день подписания настоящего Договора, до подачи документов на государственную регистрацию.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2.2. Расчёты между сторонами производятся через аккредитив (банковскую ячейку, безопасные расчёты). Денежные средства становятся доступны Продавцу после государственной регистрации перехода права собственности на Квартиру к Покупателю.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1.4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1.4. Квартира находится в залоге у банка по кредитному договору Продавца. Продавец обязуется погасить кредит после получения денег от Покупателя.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1.4. Квартира находится в залоге у банка по кредитному договору Продавца. Продавец обязуется за свой счёт погасить кредит и обеспечить снятие обременения (залога) до подачи документов на государственную регистрацию перехода права собственности. Продажа Квартиры осуществляется с согласия залогодержателя.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1.3. Продавец состоит в зарегистрированном браке. Квартира приобретена в период брака.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1.3. Продавец состоит в зарегистрированном браке. Квартира приобретена в период брака. Продавец предоставляет нотариально удостоверенное согласие супруга на продажу Квартиры.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2.1. Цена Квартиры составляет 5 400 000 (пять миллионов триста тысяч) рублей.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2.1. Цена Квартиры составляет 5 400 000 (пять миллионов четыреста тысяч) рублей.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3.1. Общая площадь Квартиры 54,2 кв. м. Квартира передаётся Покупателю в течение 60 дней после регистрации перехода права собственности без составления передаточного акта.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3.1. Общая площадь Квартиры 52,4 кв. м. Квартира передаётся Покупателю в течение 60 дней после регистрации перехода права собственности по передаточному акту, подписываемому сторонами.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4.2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4.2. Продавец вправе отказаться от Договора до государственной регистрации перехода права, вернув Покупателю полученные денежные средства без процентов в течение 90 дней.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Исключить.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На момент подписания Договора в Квартире зарегистрированы Продавец и его брат, которые обязуются сняться с регистрационного учёта в разумный срок.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Лица, сохраняющие право пользования Квартирой после её продажи, отсутствуют. Продавец и его брат обязуются сняться с регистрационного учёта не позднее ___ (дата).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9.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4.1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4.1. За просрочку оплаты Покупатель уплачивает Продавцу неустойку в размере 1 % от цены за каждый день просрочки.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4.1. За просрочку оплаты Покупатель уплачивает Продавцу неустойку в размере 0,1 % от цены за каждый день просрочки. За просрочку передачи Квартиры или уклонение от государственной регистрации перехода права Продавец уплачивает Покупателю неустойку в размере 0,1 % от цены за каждый день просрочки.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10.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осмотрел Квартиру и претензий к её состоянию не имеет, в том числе по скрытым недостаткам.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осмотрел Квартиру. Продавец отвечает за недостатки Квартиры, не оговорённые в настоящем Договоре.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Все расходы по регистрации перехода права собственности, а также налоги Продавца, связанные с продажей, несёт Покупатель.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Расходы по государственной регистрации перехода права собственности несёт Покупатель. Налоги, связанные с продажей Квартиры, несёт Продавец.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1.5 (новый)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Пункт отсутствует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1.5. Продавец заверяет, что Квартира не находится под арестом, в споре, свободна от прав третьих лиц, не обременена долгами, в ней не зарегистрированы лица, сохраняющие право пользования, кроме указанных в п. 3.2, и что он понимает значение своих действий. За недостоверность заверений Продавец несёт ответственность, предусмотренную ст. 431.2 ГК.</w:t>
            </w:r>
          </w:p>
        </w:tc>
      </w:tr>
    </w:tbl>
    <w:p>
      <w:pPr>
        <w:spacing w:after="180"/>
      </w:pPr>
    </w:p>
    <w:p>
      <w:pPr>
        <w:spacing w:after="120"/>
      </w:pPr>
      <w:r>
        <w:rPr>
          <w:b/>
          <w:sz w:val="26"/>
          <w:szCs w:val="26"/>
        </w:rPr>
        <w:t xml:space="preserve">7. Что уточнить у второй стороны или нотариуса</w:t>
      </w:r>
    </w:p>
    <w:p>
      <w:pPr>
        <w:spacing w:after="60"/>
      </w:pPr>
      <w:r>
        <w:t xml:space="preserve">— Есть ли предварительное разрешение органа опеки на продажу доли несовершеннолетнего сына и будет ли договор удостоверен нотариусом?</w:t>
      </w:r>
    </w:p>
    <w:p>
      <w:pPr>
        <w:spacing w:after="60"/>
      </w:pPr>
      <w:r>
        <w:t xml:space="preserve">— Есть ли нотариально удостоверенное согласие супруга продавца на продажу квартиры?</w:t>
      </w:r>
    </w:p>
    <w:p>
      <w:pPr>
        <w:spacing w:after="60"/>
      </w:pPr>
      <w:r>
        <w:t xml:space="preserve">— Дано ли согласие банка-залогодержателя на продажу и каков порядок и срок снятия залога?</w:t>
      </w:r>
    </w:p>
    <w:p>
      <w:pPr>
        <w:spacing w:after="60"/>
      </w:pPr>
      <w:r>
        <w:t xml:space="preserve">— Какая общая площадь верна по выписке ЕГРН — 52,4 или 54,2 кв. м?</w:t>
      </w:r>
    </w:p>
    <w:p>
      <w:pPr>
        <w:spacing w:after="60"/>
      </w:pPr>
      <w:r>
        <w:t xml:space="preserve">— Кто именно зарегистрирован в квартире и сохраняет ли кто-либо право пользования после продажи?</w:t>
      </w:r>
    </w:p>
    <w:p>
      <w:pPr>
        <w:spacing w:after="60"/>
      </w:pPr>
      <w:r>
        <w:t xml:space="preserve">— Готов ли продавец на расчёты через аккредитив, ячейку или безопасные расчёты с раскрытием после регистрации?</w:t>
      </w:r>
    </w:p>
    <w:p>
      <w:pPr>
        <w:spacing w:after="240"/>
      </w:pPr>
    </w:p>
    <w:p>
      <w:pPr>
        <w:spacing w:after="120"/>
        <w:jc w:val="both"/>
      </w:pPr>
      <w:r>
        <w:rPr>
          <w:sz w:val="18"/>
          <w:szCs w:val="18"/>
        </w:rPr>
        <w:t xml:space="preserve">Проверен текст договора, а не квартира. Юридическую чистоту объекта — собственников и обременения по свежей выписке ЕГРН, долги, банкротство продавца, зарегистрированных — это заключение не заменяет: проверьте по списку выше. Заключение подготовлено с помощью нейросети и не является юридической консультацией.</w:t>
      </w:r>
    </w:p>
    <w:p>
      <w:pPr>
        <w:jc w:val="right"/>
      </w:pPr>
      <w:r>
        <w:rPr>
          <w:sz w:val="16"/>
          <w:szCs w:val="16"/>
        </w:rPr>
        <w:t xml:space="preserve">Разногласия · raznoglasiya.ru</w:t>
      </w:r>
    </w:p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S1" Type="http://schemas.openxmlformats.org/officeDocument/2006/relationships/hyperlink" Target="https://nspd.gov.ru/map?thematic=PKK&amp;active_layers=36329,36328,36049,36048&amp;query=66%3A41%3A0000000%3A1234" TargetMode="External"/><Relationship Id="rIdS2" Type="http://schemas.openxmlformats.org/officeDocument/2006/relationships/hyperlink" Target="https://lk.rosreestr.ru/eservices/real-estate-objects-online" TargetMode="External"/><Relationship Id="rIdS3" Type="http://schemas.openxmlformats.org/officeDocument/2006/relationships/hyperlink" Target="https://fssp.gov.ru/iss/ip" TargetMode="External"/><Relationship Id="rIdS4" Type="http://schemas.openxmlformats.org/officeDocument/2006/relationships/hyperlink" Target="https://bankrot.fedresurs.ru" TargetMode="External"/><Relationship Id="rIdS5" Type="http://schemas.openxmlformats.org/officeDocument/2006/relationships/hyperlink" Target="https://sudrf.ru/index.php?id=300&amp;searchtype=sp" TargetMode="External"/><Relationship Id="rIdS6" Type="http://schemas.openxmlformats.org/officeDocument/2006/relationships/hyperlink" Target="https://dom.gosuslugi.ru" TargetMode="External"/></Relationships>
</file>